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E199C" w14:textId="4D05704B" w:rsidR="00484E9A" w:rsidRDefault="005E5431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E54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Уточнен порядок заключения под стражу осуждённых, уклоняющихся от принудительных работ</w:t>
      </w:r>
    </w:p>
    <w:p w14:paraId="4CF708DC" w14:textId="77777777" w:rsidR="005E5431" w:rsidRPr="005E5431" w:rsidRDefault="005E5431" w:rsidP="005E5431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5E5431">
        <w:rPr>
          <w:color w:val="333333"/>
          <w:sz w:val="28"/>
          <w:szCs w:val="28"/>
        </w:rPr>
        <w:t>В соответствии с новой редакцией статьи 60</w:t>
      </w:r>
      <w:r w:rsidRPr="005E5431">
        <w:rPr>
          <w:color w:val="333333"/>
          <w:sz w:val="28"/>
          <w:szCs w:val="28"/>
          <w:vertAlign w:val="superscript"/>
        </w:rPr>
        <w:t>17</w:t>
      </w:r>
      <w:r w:rsidRPr="005E5431">
        <w:rPr>
          <w:color w:val="333333"/>
          <w:sz w:val="28"/>
          <w:szCs w:val="28"/>
        </w:rPr>
        <w:t> Уголовно-исполнительного кодекса Российской Федерации перечень оснований, по которым судом рассматривается вопрос о заключении под стражу на срок до 30 суток осуждённых, уклоняющихся от отбывания принудительных работ, дополнен случаями невозвращения осуждённого в исправительный центр по истечении разрешённого срока выезда и самовольного оставления исправительного центра, места работы и (или) места проживания, определённых администрацией исправительного центра, на срок свыше 24 часов.</w:t>
      </w:r>
    </w:p>
    <w:p w14:paraId="3C1BB87D" w14:textId="77777777" w:rsidR="005E5431" w:rsidRPr="005E5431" w:rsidRDefault="005E5431" w:rsidP="005E5431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5E5431">
        <w:rPr>
          <w:color w:val="333333"/>
          <w:sz w:val="28"/>
          <w:szCs w:val="28"/>
        </w:rPr>
        <w:t>В связи с этим Федеральным законом от 15.12.2025 № 454-ФЗ в статью 397 Уголовно-процессуального кодекса Российской Федерации вносится изменение, согласно которому суд наделяется правом выносить решение о заключении под стражу осуждённого, уклоняющегося от отбывания принудительных работ, во всех случаях, указанных в части первой статьи 60</w:t>
      </w:r>
      <w:r w:rsidRPr="005E5431">
        <w:rPr>
          <w:color w:val="333333"/>
          <w:sz w:val="28"/>
          <w:szCs w:val="28"/>
          <w:vertAlign w:val="superscript"/>
        </w:rPr>
        <w:t>17 </w:t>
      </w:r>
      <w:r w:rsidRPr="005E5431">
        <w:rPr>
          <w:color w:val="333333"/>
          <w:sz w:val="28"/>
          <w:szCs w:val="28"/>
        </w:rPr>
        <w:t>Уголовно-исполнительного кодекса Российской Федерации.</w:t>
      </w:r>
    </w:p>
    <w:p w14:paraId="0E8161B7" w14:textId="77777777" w:rsidR="005E5431" w:rsidRPr="005E5431" w:rsidRDefault="005E5431" w:rsidP="005E5431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5E5431">
        <w:rPr>
          <w:color w:val="333333"/>
          <w:sz w:val="28"/>
          <w:szCs w:val="28"/>
        </w:rPr>
        <w:t>Закон вступает в силу 14.06.2026.</w:t>
      </w:r>
    </w:p>
    <w:p w14:paraId="786B0B7F" w14:textId="77777777" w:rsidR="005E5431" w:rsidRPr="005E5431" w:rsidRDefault="005E5431">
      <w:pPr>
        <w:rPr>
          <w:rFonts w:ascii="Times New Roman" w:hAnsi="Times New Roman" w:cs="Times New Roman"/>
          <w:sz w:val="28"/>
          <w:szCs w:val="28"/>
        </w:rPr>
      </w:pPr>
    </w:p>
    <w:sectPr w:rsidR="005E5431" w:rsidRPr="005E5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CE5"/>
    <w:rsid w:val="00050260"/>
    <w:rsid w:val="00484E9A"/>
    <w:rsid w:val="005E5431"/>
    <w:rsid w:val="006B45CF"/>
    <w:rsid w:val="00BB3ADE"/>
    <w:rsid w:val="00D94CE5"/>
    <w:rsid w:val="00F0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1F1A2"/>
  <w15:chartTrackingRefBased/>
  <w15:docId w15:val="{1C6E9DFA-2328-46CA-9311-061F47F8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4C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4C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4C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4C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4C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4C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4C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4C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4C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C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4C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4C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4CE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4CE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4CE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4CE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4CE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4CE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4C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94C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4C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94C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4C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94CE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4CE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94CE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4C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94CE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94CE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E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2026-01-16T08:03:00Z</dcterms:created>
  <dcterms:modified xsi:type="dcterms:W3CDTF">2026-01-16T08:04:00Z</dcterms:modified>
</cp:coreProperties>
</file>