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D7A38" w14:textId="0E3464B0" w:rsidR="009A3996" w:rsidRDefault="0084221E" w:rsidP="0084221E">
      <w:pPr>
        <w:jc w:val="both"/>
      </w:pPr>
      <w:r>
        <w:rPr>
          <w:rFonts w:ascii="Roboto" w:hAnsi="Roboto"/>
          <w:color w:val="333333"/>
          <w:shd w:val="clear" w:color="auto" w:fill="FFFFFF"/>
        </w:rPr>
        <w:t>Правительство утвердило новое положение об особенностях исчисления средней зарплаты. Документ будет действовать до 1 сентября 2031 г.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В частности, установлен порядок определения среднего месячного заработка для расчета выходного пособия. Для этого нужно средний дневной заработок умножить на среднее количество рабочих дней, приходящихся на один месяц в году.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Для работника с суммированным учетом рабочего времени средний месячный заработок для расчета выходного пособия определяется путем умножения среднего часового заработка на среднее количество рабочих часов, приходящихся на один месяц в году. Среднее количество рабочих часов, приходящихся на один месяц в году, рассчитывается путем деления количества рабочих часов в году, рассчитанного в соответствии с установленной для соответствующего работника продолжительностью рабочего времени, на 12.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Прежний порядок исчисления средней зарплаты признан утратившим силу.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  <w:shd w:val="clear" w:color="auto" w:fill="FFFFFF"/>
        </w:rPr>
        <w:t>Постановление вступает в силу с 1 сентября 2025 г.</w:t>
      </w:r>
    </w:p>
    <w:sectPr w:rsidR="009A39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96"/>
    <w:rsid w:val="000F22B7"/>
    <w:rsid w:val="0084221E"/>
    <w:rsid w:val="009A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96BD4-131E-4657-9C23-0B4C2A91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39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39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39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39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39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39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39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39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39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9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39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39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39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399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39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399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39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39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39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39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39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39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39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399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A399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399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39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399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39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2025-05-14T12:36:00Z</dcterms:created>
  <dcterms:modified xsi:type="dcterms:W3CDTF">2025-05-14T12:37:00Z</dcterms:modified>
</cp:coreProperties>
</file>