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1E4320" w14:textId="77777777" w:rsidR="004F3469" w:rsidRPr="004F3469" w:rsidRDefault="004F3469" w:rsidP="004F3469">
      <w:pPr>
        <w:pStyle w:val="ac"/>
        <w:shd w:val="clear" w:color="auto" w:fill="FFFFFF"/>
        <w:spacing w:before="0" w:beforeAutospacing="0"/>
        <w:rPr>
          <w:color w:val="333333"/>
        </w:rPr>
      </w:pPr>
      <w:r w:rsidRPr="004F3469">
        <w:rPr>
          <w:color w:val="333333"/>
        </w:rPr>
        <w:t>Внесены изменения в законы об ипотеке, долевом строительстве и ряд других актов.</w:t>
      </w:r>
      <w:r w:rsidRPr="004F3469">
        <w:rPr>
          <w:color w:val="333333"/>
        </w:rPr>
        <w:br/>
        <w:t>Если иное не предусмотрено законом или договором, право пользования жилым помещением будет сохраняться за бывшими членами семьи собственника не только приватизированного, но и кооперативного жилья при условии, что они имели равные с ним права пользования данным помещением.</w:t>
      </w:r>
      <w:r w:rsidRPr="004F3469">
        <w:rPr>
          <w:color w:val="333333"/>
        </w:rPr>
        <w:br/>
        <w:t>Для установления ипотеки приватизированного или кооперативного жилья потребуется нотариальное согласие членов семьи собственника, включая бывших, которые пользуются этим жильем.</w:t>
      </w:r>
      <w:r w:rsidRPr="004F3469">
        <w:rPr>
          <w:color w:val="333333"/>
        </w:rPr>
        <w:br/>
        <w:t>Установлен порядок внесения в ЕГРН сведений о членах семьи собственника жилья, включая бывших.</w:t>
      </w:r>
      <w:r w:rsidRPr="004F3469">
        <w:rPr>
          <w:color w:val="333333"/>
        </w:rPr>
        <w:br/>
        <w:t>В Закон об участии в долевом строительстве включены нормы, касающиеся отделочных работ. В частности, с 1 января 2025 г. гарантийный срок на такие работы будет устанавливаться договором, при этом он не должен составлять менее одного года.</w:t>
      </w:r>
      <w:r w:rsidRPr="004F3469">
        <w:rPr>
          <w:color w:val="333333"/>
        </w:rPr>
        <w:br/>
        <w:t>При нарушении застройщиком требований к результату отделочных работ, работ по установке оконных и дверных блоков, сантехнического оборудования общая сумма, взыскиваемая через суд с застройщика, не будет превышать 3% от цены договора, если уплата денежных средств в большем размере не предусмотрена договором. Исключение составляют отдельные виды неустоек (пеней), а также денежные средства, уплаченные участником долевого строительства в счет цены договора и подлежащие возврату в случае его расторжения.</w:t>
      </w:r>
      <w:r w:rsidRPr="004F3469">
        <w:rPr>
          <w:color w:val="333333"/>
        </w:rPr>
        <w:br/>
        <w:t>Закон вступает в силу с 1 сентября 2025 г., за исключением положений, для которых установлены иные сроки.</w:t>
      </w:r>
    </w:p>
    <w:p w14:paraId="186F2A04" w14:textId="77777777" w:rsidR="00A700A6" w:rsidRDefault="00A700A6"/>
    <w:sectPr w:rsidR="00A700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0A6"/>
    <w:rsid w:val="004C22F8"/>
    <w:rsid w:val="004F3469"/>
    <w:rsid w:val="00A70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5EAC31-E4C8-46C3-AAED-F572ED60A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700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700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0A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700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700A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700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700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700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700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700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700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700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700A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700A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700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700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700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700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700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700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700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700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700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700A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700A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700A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700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700A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700A6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4F3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953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1258</Characters>
  <Application>Microsoft Office Word</Application>
  <DocSecurity>0</DocSecurity>
  <Lines>10</Lines>
  <Paragraphs>2</Paragraphs>
  <ScaleCrop>false</ScaleCrop>
  <Company/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2</cp:revision>
  <dcterms:created xsi:type="dcterms:W3CDTF">2025-02-19T13:19:00Z</dcterms:created>
  <dcterms:modified xsi:type="dcterms:W3CDTF">2025-02-19T13:20:00Z</dcterms:modified>
</cp:coreProperties>
</file>