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4A971" w14:textId="1A583746" w:rsidR="00001391" w:rsidRDefault="00EF2EA0">
      <w:r>
        <w:rPr>
          <w:color w:val="333333"/>
          <w:sz w:val="21"/>
          <w:szCs w:val="21"/>
          <w:shd w:val="clear" w:color="auto" w:fill="FFFFFF"/>
        </w:rPr>
        <w:t>Минимальный размер оплаты труда на очередной год устанавливается в размере не ниже величины прожиточного минимума трудоспособного населения в целом по Российской Федерации на очередной год и не ниже минимального размера оплаты труда, установленного на текущий год.</w:t>
      </w:r>
    </w:p>
    <w:sectPr w:rsidR="00001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391"/>
    <w:rsid w:val="00001391"/>
    <w:rsid w:val="0091583F"/>
    <w:rsid w:val="00EF2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50FBD1-FACD-4D23-9266-DDB111F01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2024-11-21T06:50:00Z</dcterms:created>
  <dcterms:modified xsi:type="dcterms:W3CDTF">2024-11-21T06:50:00Z</dcterms:modified>
</cp:coreProperties>
</file>