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EE8254" w14:textId="22D07C4F" w:rsidR="000B662B" w:rsidRPr="000A2260" w:rsidRDefault="000A2260" w:rsidP="000A2260">
      <w:pPr>
        <w:spacing w:after="0" w:line="240" w:lineRule="auto"/>
        <w:jc w:val="both"/>
        <w:rPr>
          <w:rFonts w:ascii="Times New Roman" w:hAnsi="Times New Roman" w:cs="Times New Roman"/>
          <w:color w:val="333333"/>
          <w:sz w:val="28"/>
          <w:szCs w:val="28"/>
          <w:shd w:val="clear" w:color="auto" w:fill="FFFFFF"/>
        </w:rPr>
      </w:pPr>
      <w:r w:rsidRPr="000A2260">
        <w:rPr>
          <w:rFonts w:ascii="Times New Roman" w:hAnsi="Times New Roman" w:cs="Times New Roman"/>
          <w:color w:val="333333"/>
          <w:sz w:val="28"/>
          <w:szCs w:val="28"/>
          <w:shd w:val="clear" w:color="auto" w:fill="FFFFFF"/>
        </w:rPr>
        <w:t>При каких условиях наступает ответственность, предусмотренная ст. 158.1 УК РФ</w:t>
      </w:r>
    </w:p>
    <w:p w14:paraId="419C4359" w14:textId="2CE0E62B" w:rsidR="000A2260" w:rsidRPr="000A2260" w:rsidRDefault="000A2260" w:rsidP="000A2260">
      <w:pPr>
        <w:spacing w:after="0" w:line="240" w:lineRule="auto"/>
        <w:jc w:val="both"/>
        <w:rPr>
          <w:rFonts w:ascii="Times New Roman" w:hAnsi="Times New Roman" w:cs="Times New Roman"/>
          <w:sz w:val="28"/>
          <w:szCs w:val="28"/>
        </w:rPr>
      </w:pPr>
      <w:r w:rsidRPr="000A2260">
        <w:rPr>
          <w:rFonts w:ascii="Times New Roman" w:hAnsi="Times New Roman" w:cs="Times New Roman"/>
          <w:color w:val="333333"/>
          <w:sz w:val="28"/>
          <w:szCs w:val="28"/>
          <w:shd w:val="clear" w:color="auto" w:fill="FFFFFF"/>
        </w:rPr>
        <w:t>Статья 158.1 УК РФ предусматривает ответственность за мелкое хищение чужого имущества, совершенное лицом, подвергнутым административному наказанию по ч. 2 ст. 7.27 Кодекса Российской Федерации об административных правонарушениях. Уголовная ответственность по данной статье наступает при условии, что на момент совершения мелкого хищения чужого имущества, стоимость которого не превышает двух тысяч пятьсот рублей, путем кражи, мошенничества, присвоения или растраты, виновный является лицом, подвергнутым административному наказанию за мелкое хищение чужого имущества стоимостью более одной тысячи рублей, но не более двух тысяч пятисот рублей (ч. 2 ст. 7.27. КоАП РФ). При этом согласно ст. 4.6 КоАП РФ лицо считается подвергнутым административному наказанию со дня вступления в законную силу постановления о назначении административного наказания до истечения одного года со дня окончания исполнения данного постановления. Срок давности привлечения к уголовной ответственности за преступление, предусмотренное ст. 158.1 УК РФ, составляет 2 года. Санкция ст. 158.1 УК РФ предусматривает наказание вплоть до лишения свободы на 1 год.</w:t>
      </w:r>
    </w:p>
    <w:sectPr w:rsidR="000A2260" w:rsidRPr="000A22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62B"/>
    <w:rsid w:val="000A2260"/>
    <w:rsid w:val="000B662B"/>
    <w:rsid w:val="00E426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A51D0"/>
  <w15:chartTrackingRefBased/>
  <w15:docId w15:val="{E80FD5C1-D1A7-4F6A-A514-EE7698A8D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180</Words>
  <Characters>1032</Characters>
  <Application>Microsoft Office Word</Application>
  <DocSecurity>0</DocSecurity>
  <Lines>8</Lines>
  <Paragraphs>2</Paragraphs>
  <ScaleCrop>false</ScaleCrop>
  <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Ковган Лина Ивановна</dc:creator>
  <cp:keywords/>
  <dc:description/>
  <cp:lastModifiedBy>Ковган Лина Ивановна</cp:lastModifiedBy>
  <cp:revision>3</cp:revision>
  <dcterms:created xsi:type="dcterms:W3CDTF">2024-10-22T13:03:00Z</dcterms:created>
  <dcterms:modified xsi:type="dcterms:W3CDTF">2024-10-22T13:04:00Z</dcterms:modified>
</cp:coreProperties>
</file>