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6FAAD" w14:textId="43D6E2CA" w:rsidR="00E239F4" w:rsidRPr="00E239F4" w:rsidRDefault="00E239F4" w:rsidP="00BD7478">
      <w:pPr>
        <w:shd w:val="clear" w:color="auto" w:fill="FFFFFF"/>
        <w:spacing w:after="0" w:line="240" w:lineRule="auto"/>
        <w:ind w:firstLine="709"/>
        <w:jc w:val="center"/>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b/>
          <w:bCs/>
          <w:color w:val="333333"/>
          <w:sz w:val="24"/>
          <w:szCs w:val="24"/>
          <w:lang w:eastAsia="ru-RU"/>
        </w:rPr>
        <w:t>Ответственность за совершение хищений, имеющих признаки малозначительности.</w:t>
      </w:r>
    </w:p>
    <w:p w14:paraId="56FB7B50"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Согласно ч. 2 ст. 14 УК РФ не является преступлением действие (бездействие), хотя формально и содержащее признаки какого-либо деяния, предусмотренного УК, но в силу малозначительности не представляющее общественной опасности.</w:t>
      </w:r>
    </w:p>
    <w:p w14:paraId="08B69C4F"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Вопрос о признании малозначительности деяния, в частности хищения, относится к компетенции органов предварительного расследования и суда. Уголовное дело в случае малозначительности деяния не может быть возбуждено, а возбужденное дело подлежит прекращению за отсутствием в деянии состава преступления по признакам п. 2 ч. 1 ст.24 УПК РФ.</w:t>
      </w:r>
    </w:p>
    <w:p w14:paraId="609739EB"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Таким образом, для определения малозначительности в каждом конкретном случае органы предварительного расследования и суд должны устанавливать степень общественной опасности совершенного деяния. </w:t>
      </w:r>
    </w:p>
    <w:p w14:paraId="2495E78E"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roofErr w:type="gramStart"/>
      <w:r w:rsidRPr="00E239F4">
        <w:rPr>
          <w:rFonts w:ascii="Times New Roman" w:eastAsia="Times New Roman" w:hAnsi="Times New Roman" w:cs="Times New Roman"/>
          <w:color w:val="333333"/>
          <w:sz w:val="24"/>
          <w:szCs w:val="24"/>
          <w:lang w:eastAsia="ru-RU"/>
        </w:rPr>
        <w:t>В частности</w:t>
      </w:r>
      <w:proofErr w:type="gramEnd"/>
      <w:r w:rsidRPr="00E239F4">
        <w:rPr>
          <w:rFonts w:ascii="Times New Roman" w:eastAsia="Times New Roman" w:hAnsi="Times New Roman" w:cs="Times New Roman"/>
          <w:color w:val="333333"/>
          <w:sz w:val="24"/>
          <w:szCs w:val="24"/>
          <w:lang w:eastAsia="ru-RU"/>
        </w:rPr>
        <w:t xml:space="preserve"> для определения малозначительности при хищении в первую очередь учитывается размер ущерба.</w:t>
      </w:r>
    </w:p>
    <w:p w14:paraId="25E0FDBE"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Так, уголовное наказание за совершение кражи (ч. 1 ст. 158 УК РФ), мошенничества (ч. 1 ст. 159 УК РФ), присвоения и растраты (ч. 1 ст. 160 УК РФ) наступает только при сумме ущерба более 2500 рублей. При размере хищения до 2500 рублей действия лица будут квалифицироваться как административное правонарушение. Но и здесь есть свои исключения, которые напрямую связаны с повторностью совершения хищений на сумму, не превышающую 2 500 рублей, а также со способом совершения хищения.</w:t>
      </w:r>
    </w:p>
    <w:p w14:paraId="43731C9E"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Уголовным кодексом Российской Федерации в статье 158.1 предусмотрена уголовная ответственность за совершение мелкого хищения, которая наступает при условии, если на момент совершения мелкого хищения чужого имущества стоимостью не более 2500 рублей путем кражи, мошенничества или растраты виновный является лицом, подвергнутым административному наказанию за мелкое хищение чужого имущества стоимостью более 1000 рублей, но не более 2500 рублей, т.е. в случае повторного мелкого хищения чужого имущества.</w:t>
      </w:r>
    </w:p>
    <w:p w14:paraId="321DB4E3"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Кроме того, за хищения, совершенные путем грабежа, т.е. открыто для потерпевшего и других лиц, а также группой лиц по предварительному сговору; организованной группой; с незаконным проникновением в жилище, помещение или иное хранилище; из одежды, сумки или другой ручной клади, находившихся при потерпевшем; из нефтепровода, нефтепродуктопровода, газопровода; с банковского счета, лицо будет нести уголовную ответственность даже при сумме ущерба менее 2 500 рублей.</w:t>
      </w:r>
    </w:p>
    <w:p w14:paraId="38B139FD"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Несмотря на это, даже в случаях совершения хищений вышеуказанными способами при условии причинения ущерба на сумму менее 2 500 рублей, органы предварительного расследования и суд, решая вопрос о малозначительности хищения, учитывают совокупность таких обстоятельств, как степень реализации преступных намерений, размер похищенного, роль в преступлении, совершенном в соучастии, характер обстоятельств, способствовавших совершению преступления.</w:t>
      </w:r>
    </w:p>
    <w:p w14:paraId="28F51058" w14:textId="77777777" w:rsidR="00BD7478"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p>
    <w:p w14:paraId="080F7EE4" w14:textId="1E511DE8" w:rsidR="00BD7478" w:rsidRPr="00BD7478"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spellStart"/>
      <w:r w:rsidRPr="00BD7478">
        <w:rPr>
          <w:rFonts w:ascii="Times New Roman" w:eastAsia="Times New Roman" w:hAnsi="Times New Roman" w:cs="Times New Roman"/>
          <w:color w:val="333333"/>
          <w:sz w:val="24"/>
          <w:szCs w:val="24"/>
          <w:lang w:eastAsia="ru-RU"/>
        </w:rPr>
        <w:t>И.о</w:t>
      </w:r>
      <w:proofErr w:type="spellEnd"/>
      <w:r w:rsidRPr="00BD7478">
        <w:rPr>
          <w:rFonts w:ascii="Times New Roman" w:eastAsia="Times New Roman" w:hAnsi="Times New Roman" w:cs="Times New Roman"/>
          <w:color w:val="333333"/>
          <w:sz w:val="24"/>
          <w:szCs w:val="24"/>
          <w:lang w:eastAsia="ru-RU"/>
        </w:rPr>
        <w:t xml:space="preserve">. прокурора города </w:t>
      </w:r>
    </w:p>
    <w:p w14:paraId="5583A0C8" w14:textId="77777777" w:rsidR="00BD7478" w:rsidRPr="00E239F4"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D7478">
        <w:rPr>
          <w:rFonts w:ascii="Times New Roman" w:eastAsia="Times New Roman" w:hAnsi="Times New Roman" w:cs="Times New Roman"/>
          <w:color w:val="333333"/>
          <w:sz w:val="24"/>
          <w:szCs w:val="24"/>
          <w:lang w:eastAsia="ru-RU"/>
        </w:rPr>
        <w:t xml:space="preserve">советник юстиции                                                                    </w:t>
      </w:r>
      <w:r>
        <w:rPr>
          <w:rFonts w:ascii="Times New Roman" w:eastAsia="Times New Roman" w:hAnsi="Times New Roman" w:cs="Times New Roman"/>
          <w:color w:val="333333"/>
          <w:sz w:val="24"/>
          <w:szCs w:val="24"/>
          <w:lang w:eastAsia="ru-RU"/>
        </w:rPr>
        <w:t xml:space="preserve">                    </w:t>
      </w:r>
      <w:r w:rsidRPr="00BD7478">
        <w:rPr>
          <w:rFonts w:ascii="Times New Roman" w:eastAsia="Times New Roman" w:hAnsi="Times New Roman" w:cs="Times New Roman"/>
          <w:color w:val="333333"/>
          <w:sz w:val="24"/>
          <w:szCs w:val="24"/>
          <w:lang w:eastAsia="ru-RU"/>
        </w:rPr>
        <w:t xml:space="preserve">          И.В. Борисенко</w:t>
      </w:r>
    </w:p>
    <w:p w14:paraId="35BBFC16" w14:textId="77777777" w:rsidR="00BD7478" w:rsidRPr="00BD7478" w:rsidRDefault="00BD7478" w:rsidP="00BD7478">
      <w:pPr>
        <w:shd w:val="clear" w:color="auto" w:fill="FFFFFF"/>
        <w:spacing w:line="540" w:lineRule="atLeast"/>
        <w:jc w:val="center"/>
        <w:rPr>
          <w:rFonts w:ascii="Times New Roman" w:eastAsia="Times New Roman" w:hAnsi="Times New Roman" w:cs="Times New Roman"/>
          <w:b/>
          <w:bCs/>
          <w:color w:val="333333"/>
          <w:sz w:val="27"/>
          <w:szCs w:val="27"/>
          <w:lang w:eastAsia="ru-RU"/>
        </w:rPr>
      </w:pPr>
    </w:p>
    <w:p w14:paraId="5363A798" w14:textId="77777777"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31214A09" w14:textId="77777777" w:rsidR="00BD7478" w:rsidRP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r w:rsidRPr="00BD7478">
        <w:rPr>
          <w:rFonts w:ascii="Times New Roman" w:eastAsia="Times New Roman" w:hAnsi="Times New Roman" w:cs="Times New Roman"/>
          <w:color w:val="333333"/>
          <w:sz w:val="20"/>
          <w:szCs w:val="20"/>
          <w:lang w:eastAsia="ru-RU"/>
        </w:rPr>
        <w:t>Д.А. Хрулева, тел. 5-13-82</w:t>
      </w:r>
    </w:p>
    <w:p w14:paraId="020A6A5E"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 </w:t>
      </w:r>
      <w:bookmarkStart w:id="0" w:name="_GoBack"/>
      <w:bookmarkEnd w:id="0"/>
    </w:p>
    <w:sectPr w:rsidR="00E239F4" w:rsidRPr="00E239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9F4"/>
    <w:rsid w:val="005946FA"/>
    <w:rsid w:val="00B2100D"/>
    <w:rsid w:val="00BD7478"/>
    <w:rsid w:val="00E239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7D45C"/>
  <w15:chartTrackingRefBased/>
  <w15:docId w15:val="{93F2DAE6-8936-4FA9-9B0E-F1439289F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74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637764">
      <w:bodyDiv w:val="1"/>
      <w:marLeft w:val="0"/>
      <w:marRight w:val="0"/>
      <w:marTop w:val="0"/>
      <w:marBottom w:val="0"/>
      <w:divBdr>
        <w:top w:val="none" w:sz="0" w:space="0" w:color="auto"/>
        <w:left w:val="none" w:sz="0" w:space="0" w:color="auto"/>
        <w:bottom w:val="none" w:sz="0" w:space="0" w:color="auto"/>
        <w:right w:val="none" w:sz="0" w:space="0" w:color="auto"/>
      </w:divBdr>
      <w:divsChild>
        <w:div w:id="118572283">
          <w:marLeft w:val="0"/>
          <w:marRight w:val="0"/>
          <w:marTop w:val="0"/>
          <w:marBottom w:val="960"/>
          <w:divBdr>
            <w:top w:val="none" w:sz="0" w:space="0" w:color="auto"/>
            <w:left w:val="none" w:sz="0" w:space="0" w:color="auto"/>
            <w:bottom w:val="none" w:sz="0" w:space="0" w:color="auto"/>
            <w:right w:val="none" w:sz="0" w:space="0" w:color="auto"/>
          </w:divBdr>
        </w:div>
        <w:div w:id="1603145340">
          <w:marLeft w:val="0"/>
          <w:marRight w:val="720"/>
          <w:marTop w:val="0"/>
          <w:marBottom w:val="0"/>
          <w:divBdr>
            <w:top w:val="none" w:sz="0" w:space="0" w:color="auto"/>
            <w:left w:val="none" w:sz="0" w:space="0" w:color="auto"/>
            <w:bottom w:val="none" w:sz="0" w:space="0" w:color="auto"/>
            <w:right w:val="none" w:sz="0" w:space="0" w:color="auto"/>
          </w:divBdr>
          <w:divsChild>
            <w:div w:id="2114086095">
              <w:marLeft w:val="0"/>
              <w:marRight w:val="0"/>
              <w:marTop w:val="0"/>
              <w:marBottom w:val="120"/>
              <w:divBdr>
                <w:top w:val="none" w:sz="0" w:space="0" w:color="auto"/>
                <w:left w:val="none" w:sz="0" w:space="0" w:color="auto"/>
                <w:bottom w:val="none" w:sz="0" w:space="0" w:color="auto"/>
                <w:right w:val="none" w:sz="0" w:space="0" w:color="auto"/>
              </w:divBdr>
            </w:div>
            <w:div w:id="2019964120">
              <w:marLeft w:val="0"/>
              <w:marRight w:val="0"/>
              <w:marTop w:val="0"/>
              <w:marBottom w:val="120"/>
              <w:divBdr>
                <w:top w:val="none" w:sz="0" w:space="0" w:color="auto"/>
                <w:left w:val="none" w:sz="0" w:space="0" w:color="auto"/>
                <w:bottom w:val="none" w:sz="0" w:space="0" w:color="auto"/>
                <w:right w:val="none" w:sz="0" w:space="0" w:color="auto"/>
              </w:divBdr>
            </w:div>
          </w:divsChild>
        </w:div>
        <w:div w:id="421875218">
          <w:marLeft w:val="0"/>
          <w:marRight w:val="0"/>
          <w:marTop w:val="0"/>
          <w:marBottom w:val="0"/>
          <w:divBdr>
            <w:top w:val="none" w:sz="0" w:space="0" w:color="auto"/>
            <w:left w:val="none" w:sz="0" w:space="0" w:color="auto"/>
            <w:bottom w:val="none" w:sz="0" w:space="0" w:color="auto"/>
            <w:right w:val="none" w:sz="0" w:space="0" w:color="auto"/>
          </w:divBdr>
          <w:divsChild>
            <w:div w:id="766005391">
              <w:marLeft w:val="0"/>
              <w:marRight w:val="0"/>
              <w:marTop w:val="0"/>
              <w:marBottom w:val="0"/>
              <w:divBdr>
                <w:top w:val="none" w:sz="0" w:space="0" w:color="auto"/>
                <w:left w:val="none" w:sz="0" w:space="0" w:color="auto"/>
                <w:bottom w:val="none" w:sz="0" w:space="0" w:color="auto"/>
                <w:right w:val="none" w:sz="0" w:space="0" w:color="auto"/>
              </w:divBdr>
              <w:divsChild>
                <w:div w:id="119630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462631">
      <w:bodyDiv w:val="1"/>
      <w:marLeft w:val="0"/>
      <w:marRight w:val="0"/>
      <w:marTop w:val="0"/>
      <w:marBottom w:val="0"/>
      <w:divBdr>
        <w:top w:val="none" w:sz="0" w:space="0" w:color="auto"/>
        <w:left w:val="none" w:sz="0" w:space="0" w:color="auto"/>
        <w:bottom w:val="none" w:sz="0" w:space="0" w:color="auto"/>
        <w:right w:val="none" w:sz="0" w:space="0" w:color="auto"/>
      </w:divBdr>
      <w:divsChild>
        <w:div w:id="2122147905">
          <w:marLeft w:val="0"/>
          <w:marRight w:val="0"/>
          <w:marTop w:val="0"/>
          <w:marBottom w:val="960"/>
          <w:divBdr>
            <w:top w:val="none" w:sz="0" w:space="0" w:color="auto"/>
            <w:left w:val="none" w:sz="0" w:space="0" w:color="auto"/>
            <w:bottom w:val="none" w:sz="0" w:space="0" w:color="auto"/>
            <w:right w:val="none" w:sz="0" w:space="0" w:color="auto"/>
          </w:divBdr>
        </w:div>
        <w:div w:id="1501307698">
          <w:marLeft w:val="0"/>
          <w:marRight w:val="720"/>
          <w:marTop w:val="0"/>
          <w:marBottom w:val="0"/>
          <w:divBdr>
            <w:top w:val="none" w:sz="0" w:space="0" w:color="auto"/>
            <w:left w:val="none" w:sz="0" w:space="0" w:color="auto"/>
            <w:bottom w:val="none" w:sz="0" w:space="0" w:color="auto"/>
            <w:right w:val="none" w:sz="0" w:space="0" w:color="auto"/>
          </w:divBdr>
          <w:divsChild>
            <w:div w:id="793063191">
              <w:marLeft w:val="0"/>
              <w:marRight w:val="0"/>
              <w:marTop w:val="0"/>
              <w:marBottom w:val="120"/>
              <w:divBdr>
                <w:top w:val="none" w:sz="0" w:space="0" w:color="auto"/>
                <w:left w:val="none" w:sz="0" w:space="0" w:color="auto"/>
                <w:bottom w:val="none" w:sz="0" w:space="0" w:color="auto"/>
                <w:right w:val="none" w:sz="0" w:space="0" w:color="auto"/>
              </w:divBdr>
            </w:div>
            <w:div w:id="368647009">
              <w:marLeft w:val="0"/>
              <w:marRight w:val="0"/>
              <w:marTop w:val="0"/>
              <w:marBottom w:val="120"/>
              <w:divBdr>
                <w:top w:val="none" w:sz="0" w:space="0" w:color="auto"/>
                <w:left w:val="none" w:sz="0" w:space="0" w:color="auto"/>
                <w:bottom w:val="none" w:sz="0" w:space="0" w:color="auto"/>
                <w:right w:val="none" w:sz="0" w:space="0" w:color="auto"/>
              </w:divBdr>
            </w:div>
          </w:divsChild>
        </w:div>
        <w:div w:id="1405836148">
          <w:marLeft w:val="0"/>
          <w:marRight w:val="0"/>
          <w:marTop w:val="0"/>
          <w:marBottom w:val="0"/>
          <w:divBdr>
            <w:top w:val="none" w:sz="0" w:space="0" w:color="auto"/>
            <w:left w:val="none" w:sz="0" w:space="0" w:color="auto"/>
            <w:bottom w:val="none" w:sz="0" w:space="0" w:color="auto"/>
            <w:right w:val="none" w:sz="0" w:space="0" w:color="auto"/>
          </w:divBdr>
          <w:divsChild>
            <w:div w:id="483278080">
              <w:marLeft w:val="0"/>
              <w:marRight w:val="0"/>
              <w:marTop w:val="0"/>
              <w:marBottom w:val="0"/>
              <w:divBdr>
                <w:top w:val="none" w:sz="0" w:space="0" w:color="auto"/>
                <w:left w:val="none" w:sz="0" w:space="0" w:color="auto"/>
                <w:bottom w:val="none" w:sz="0" w:space="0" w:color="auto"/>
                <w:right w:val="none" w:sz="0" w:space="0" w:color="auto"/>
              </w:divBdr>
              <w:divsChild>
                <w:div w:id="146403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374180">
      <w:bodyDiv w:val="1"/>
      <w:marLeft w:val="0"/>
      <w:marRight w:val="0"/>
      <w:marTop w:val="0"/>
      <w:marBottom w:val="0"/>
      <w:divBdr>
        <w:top w:val="none" w:sz="0" w:space="0" w:color="auto"/>
        <w:left w:val="none" w:sz="0" w:space="0" w:color="auto"/>
        <w:bottom w:val="none" w:sz="0" w:space="0" w:color="auto"/>
        <w:right w:val="none" w:sz="0" w:space="0" w:color="auto"/>
      </w:divBdr>
      <w:divsChild>
        <w:div w:id="439759575">
          <w:marLeft w:val="0"/>
          <w:marRight w:val="0"/>
          <w:marTop w:val="0"/>
          <w:marBottom w:val="960"/>
          <w:divBdr>
            <w:top w:val="none" w:sz="0" w:space="0" w:color="auto"/>
            <w:left w:val="none" w:sz="0" w:space="0" w:color="auto"/>
            <w:bottom w:val="none" w:sz="0" w:space="0" w:color="auto"/>
            <w:right w:val="none" w:sz="0" w:space="0" w:color="auto"/>
          </w:divBdr>
        </w:div>
        <w:div w:id="1413965106">
          <w:marLeft w:val="0"/>
          <w:marRight w:val="720"/>
          <w:marTop w:val="0"/>
          <w:marBottom w:val="0"/>
          <w:divBdr>
            <w:top w:val="none" w:sz="0" w:space="0" w:color="auto"/>
            <w:left w:val="none" w:sz="0" w:space="0" w:color="auto"/>
            <w:bottom w:val="none" w:sz="0" w:space="0" w:color="auto"/>
            <w:right w:val="none" w:sz="0" w:space="0" w:color="auto"/>
          </w:divBdr>
          <w:divsChild>
            <w:div w:id="1898081095">
              <w:marLeft w:val="0"/>
              <w:marRight w:val="0"/>
              <w:marTop w:val="0"/>
              <w:marBottom w:val="120"/>
              <w:divBdr>
                <w:top w:val="none" w:sz="0" w:space="0" w:color="auto"/>
                <w:left w:val="none" w:sz="0" w:space="0" w:color="auto"/>
                <w:bottom w:val="none" w:sz="0" w:space="0" w:color="auto"/>
                <w:right w:val="none" w:sz="0" w:space="0" w:color="auto"/>
              </w:divBdr>
            </w:div>
            <w:div w:id="692077915">
              <w:marLeft w:val="0"/>
              <w:marRight w:val="0"/>
              <w:marTop w:val="0"/>
              <w:marBottom w:val="120"/>
              <w:divBdr>
                <w:top w:val="none" w:sz="0" w:space="0" w:color="auto"/>
                <w:left w:val="none" w:sz="0" w:space="0" w:color="auto"/>
                <w:bottom w:val="none" w:sz="0" w:space="0" w:color="auto"/>
                <w:right w:val="none" w:sz="0" w:space="0" w:color="auto"/>
              </w:divBdr>
            </w:div>
          </w:divsChild>
        </w:div>
        <w:div w:id="1082139037">
          <w:marLeft w:val="0"/>
          <w:marRight w:val="0"/>
          <w:marTop w:val="0"/>
          <w:marBottom w:val="0"/>
          <w:divBdr>
            <w:top w:val="none" w:sz="0" w:space="0" w:color="auto"/>
            <w:left w:val="none" w:sz="0" w:space="0" w:color="auto"/>
            <w:bottom w:val="none" w:sz="0" w:space="0" w:color="auto"/>
            <w:right w:val="none" w:sz="0" w:space="0" w:color="auto"/>
          </w:divBdr>
          <w:divsChild>
            <w:div w:id="19550118">
              <w:marLeft w:val="0"/>
              <w:marRight w:val="0"/>
              <w:marTop w:val="0"/>
              <w:marBottom w:val="0"/>
              <w:divBdr>
                <w:top w:val="none" w:sz="0" w:space="0" w:color="auto"/>
                <w:left w:val="none" w:sz="0" w:space="0" w:color="auto"/>
                <w:bottom w:val="none" w:sz="0" w:space="0" w:color="auto"/>
                <w:right w:val="none" w:sz="0" w:space="0" w:color="auto"/>
              </w:divBdr>
              <w:divsChild>
                <w:div w:id="137411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535083">
      <w:bodyDiv w:val="1"/>
      <w:marLeft w:val="0"/>
      <w:marRight w:val="0"/>
      <w:marTop w:val="0"/>
      <w:marBottom w:val="0"/>
      <w:divBdr>
        <w:top w:val="none" w:sz="0" w:space="0" w:color="auto"/>
        <w:left w:val="none" w:sz="0" w:space="0" w:color="auto"/>
        <w:bottom w:val="none" w:sz="0" w:space="0" w:color="auto"/>
        <w:right w:val="none" w:sz="0" w:space="0" w:color="auto"/>
      </w:divBdr>
      <w:divsChild>
        <w:div w:id="1879275228">
          <w:marLeft w:val="0"/>
          <w:marRight w:val="0"/>
          <w:marTop w:val="0"/>
          <w:marBottom w:val="960"/>
          <w:divBdr>
            <w:top w:val="none" w:sz="0" w:space="0" w:color="auto"/>
            <w:left w:val="none" w:sz="0" w:space="0" w:color="auto"/>
            <w:bottom w:val="none" w:sz="0" w:space="0" w:color="auto"/>
            <w:right w:val="none" w:sz="0" w:space="0" w:color="auto"/>
          </w:divBdr>
        </w:div>
        <w:div w:id="880752641">
          <w:marLeft w:val="0"/>
          <w:marRight w:val="720"/>
          <w:marTop w:val="0"/>
          <w:marBottom w:val="0"/>
          <w:divBdr>
            <w:top w:val="none" w:sz="0" w:space="0" w:color="auto"/>
            <w:left w:val="none" w:sz="0" w:space="0" w:color="auto"/>
            <w:bottom w:val="none" w:sz="0" w:space="0" w:color="auto"/>
            <w:right w:val="none" w:sz="0" w:space="0" w:color="auto"/>
          </w:divBdr>
          <w:divsChild>
            <w:div w:id="194463715">
              <w:marLeft w:val="0"/>
              <w:marRight w:val="0"/>
              <w:marTop w:val="0"/>
              <w:marBottom w:val="120"/>
              <w:divBdr>
                <w:top w:val="none" w:sz="0" w:space="0" w:color="auto"/>
                <w:left w:val="none" w:sz="0" w:space="0" w:color="auto"/>
                <w:bottom w:val="none" w:sz="0" w:space="0" w:color="auto"/>
                <w:right w:val="none" w:sz="0" w:space="0" w:color="auto"/>
              </w:divBdr>
            </w:div>
            <w:div w:id="1527712046">
              <w:marLeft w:val="0"/>
              <w:marRight w:val="0"/>
              <w:marTop w:val="0"/>
              <w:marBottom w:val="120"/>
              <w:divBdr>
                <w:top w:val="none" w:sz="0" w:space="0" w:color="auto"/>
                <w:left w:val="none" w:sz="0" w:space="0" w:color="auto"/>
                <w:bottom w:val="none" w:sz="0" w:space="0" w:color="auto"/>
                <w:right w:val="none" w:sz="0" w:space="0" w:color="auto"/>
              </w:divBdr>
            </w:div>
          </w:divsChild>
        </w:div>
        <w:div w:id="2097818201">
          <w:marLeft w:val="0"/>
          <w:marRight w:val="0"/>
          <w:marTop w:val="0"/>
          <w:marBottom w:val="0"/>
          <w:divBdr>
            <w:top w:val="none" w:sz="0" w:space="0" w:color="auto"/>
            <w:left w:val="none" w:sz="0" w:space="0" w:color="auto"/>
            <w:bottom w:val="none" w:sz="0" w:space="0" w:color="auto"/>
            <w:right w:val="none" w:sz="0" w:space="0" w:color="auto"/>
          </w:divBdr>
          <w:divsChild>
            <w:div w:id="162011254">
              <w:marLeft w:val="0"/>
              <w:marRight w:val="0"/>
              <w:marTop w:val="0"/>
              <w:marBottom w:val="0"/>
              <w:divBdr>
                <w:top w:val="none" w:sz="0" w:space="0" w:color="auto"/>
                <w:left w:val="none" w:sz="0" w:space="0" w:color="auto"/>
                <w:bottom w:val="none" w:sz="0" w:space="0" w:color="auto"/>
                <w:right w:val="none" w:sz="0" w:space="0" w:color="auto"/>
              </w:divBdr>
              <w:divsChild>
                <w:div w:id="32089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86971">
      <w:bodyDiv w:val="1"/>
      <w:marLeft w:val="0"/>
      <w:marRight w:val="0"/>
      <w:marTop w:val="0"/>
      <w:marBottom w:val="0"/>
      <w:divBdr>
        <w:top w:val="none" w:sz="0" w:space="0" w:color="auto"/>
        <w:left w:val="none" w:sz="0" w:space="0" w:color="auto"/>
        <w:bottom w:val="none" w:sz="0" w:space="0" w:color="auto"/>
        <w:right w:val="none" w:sz="0" w:space="0" w:color="auto"/>
      </w:divBdr>
      <w:divsChild>
        <w:div w:id="995305083">
          <w:marLeft w:val="0"/>
          <w:marRight w:val="0"/>
          <w:marTop w:val="0"/>
          <w:marBottom w:val="960"/>
          <w:divBdr>
            <w:top w:val="none" w:sz="0" w:space="0" w:color="auto"/>
            <w:left w:val="none" w:sz="0" w:space="0" w:color="auto"/>
            <w:bottom w:val="none" w:sz="0" w:space="0" w:color="auto"/>
            <w:right w:val="none" w:sz="0" w:space="0" w:color="auto"/>
          </w:divBdr>
        </w:div>
        <w:div w:id="904026217">
          <w:marLeft w:val="0"/>
          <w:marRight w:val="720"/>
          <w:marTop w:val="0"/>
          <w:marBottom w:val="0"/>
          <w:divBdr>
            <w:top w:val="none" w:sz="0" w:space="0" w:color="auto"/>
            <w:left w:val="none" w:sz="0" w:space="0" w:color="auto"/>
            <w:bottom w:val="none" w:sz="0" w:space="0" w:color="auto"/>
            <w:right w:val="none" w:sz="0" w:space="0" w:color="auto"/>
          </w:divBdr>
          <w:divsChild>
            <w:div w:id="1372026397">
              <w:marLeft w:val="0"/>
              <w:marRight w:val="0"/>
              <w:marTop w:val="0"/>
              <w:marBottom w:val="120"/>
              <w:divBdr>
                <w:top w:val="none" w:sz="0" w:space="0" w:color="auto"/>
                <w:left w:val="none" w:sz="0" w:space="0" w:color="auto"/>
                <w:bottom w:val="none" w:sz="0" w:space="0" w:color="auto"/>
                <w:right w:val="none" w:sz="0" w:space="0" w:color="auto"/>
              </w:divBdr>
            </w:div>
            <w:div w:id="1453282441">
              <w:marLeft w:val="0"/>
              <w:marRight w:val="0"/>
              <w:marTop w:val="0"/>
              <w:marBottom w:val="120"/>
              <w:divBdr>
                <w:top w:val="none" w:sz="0" w:space="0" w:color="auto"/>
                <w:left w:val="none" w:sz="0" w:space="0" w:color="auto"/>
                <w:bottom w:val="none" w:sz="0" w:space="0" w:color="auto"/>
                <w:right w:val="none" w:sz="0" w:space="0" w:color="auto"/>
              </w:divBdr>
            </w:div>
          </w:divsChild>
        </w:div>
        <w:div w:id="395204540">
          <w:marLeft w:val="0"/>
          <w:marRight w:val="0"/>
          <w:marTop w:val="0"/>
          <w:marBottom w:val="0"/>
          <w:divBdr>
            <w:top w:val="none" w:sz="0" w:space="0" w:color="auto"/>
            <w:left w:val="none" w:sz="0" w:space="0" w:color="auto"/>
            <w:bottom w:val="none" w:sz="0" w:space="0" w:color="auto"/>
            <w:right w:val="none" w:sz="0" w:space="0" w:color="auto"/>
          </w:divBdr>
          <w:divsChild>
            <w:div w:id="2067754469">
              <w:marLeft w:val="0"/>
              <w:marRight w:val="0"/>
              <w:marTop w:val="0"/>
              <w:marBottom w:val="0"/>
              <w:divBdr>
                <w:top w:val="none" w:sz="0" w:space="0" w:color="auto"/>
                <w:left w:val="none" w:sz="0" w:space="0" w:color="auto"/>
                <w:bottom w:val="none" w:sz="0" w:space="0" w:color="auto"/>
                <w:right w:val="none" w:sz="0" w:space="0" w:color="auto"/>
              </w:divBdr>
              <w:divsChild>
                <w:div w:id="128912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91647">
      <w:bodyDiv w:val="1"/>
      <w:marLeft w:val="0"/>
      <w:marRight w:val="0"/>
      <w:marTop w:val="0"/>
      <w:marBottom w:val="0"/>
      <w:divBdr>
        <w:top w:val="none" w:sz="0" w:space="0" w:color="auto"/>
        <w:left w:val="none" w:sz="0" w:space="0" w:color="auto"/>
        <w:bottom w:val="none" w:sz="0" w:space="0" w:color="auto"/>
        <w:right w:val="none" w:sz="0" w:space="0" w:color="auto"/>
      </w:divBdr>
      <w:divsChild>
        <w:div w:id="324013312">
          <w:marLeft w:val="0"/>
          <w:marRight w:val="0"/>
          <w:marTop w:val="0"/>
          <w:marBottom w:val="960"/>
          <w:divBdr>
            <w:top w:val="none" w:sz="0" w:space="0" w:color="auto"/>
            <w:left w:val="none" w:sz="0" w:space="0" w:color="auto"/>
            <w:bottom w:val="none" w:sz="0" w:space="0" w:color="auto"/>
            <w:right w:val="none" w:sz="0" w:space="0" w:color="auto"/>
          </w:divBdr>
        </w:div>
        <w:div w:id="1243639665">
          <w:marLeft w:val="0"/>
          <w:marRight w:val="720"/>
          <w:marTop w:val="0"/>
          <w:marBottom w:val="0"/>
          <w:divBdr>
            <w:top w:val="none" w:sz="0" w:space="0" w:color="auto"/>
            <w:left w:val="none" w:sz="0" w:space="0" w:color="auto"/>
            <w:bottom w:val="none" w:sz="0" w:space="0" w:color="auto"/>
            <w:right w:val="none" w:sz="0" w:space="0" w:color="auto"/>
          </w:divBdr>
          <w:divsChild>
            <w:div w:id="863514004">
              <w:marLeft w:val="0"/>
              <w:marRight w:val="0"/>
              <w:marTop w:val="0"/>
              <w:marBottom w:val="120"/>
              <w:divBdr>
                <w:top w:val="none" w:sz="0" w:space="0" w:color="auto"/>
                <w:left w:val="none" w:sz="0" w:space="0" w:color="auto"/>
                <w:bottom w:val="none" w:sz="0" w:space="0" w:color="auto"/>
                <w:right w:val="none" w:sz="0" w:space="0" w:color="auto"/>
              </w:divBdr>
            </w:div>
            <w:div w:id="759061472">
              <w:marLeft w:val="0"/>
              <w:marRight w:val="0"/>
              <w:marTop w:val="0"/>
              <w:marBottom w:val="120"/>
              <w:divBdr>
                <w:top w:val="none" w:sz="0" w:space="0" w:color="auto"/>
                <w:left w:val="none" w:sz="0" w:space="0" w:color="auto"/>
                <w:bottom w:val="none" w:sz="0" w:space="0" w:color="auto"/>
                <w:right w:val="none" w:sz="0" w:space="0" w:color="auto"/>
              </w:divBdr>
            </w:div>
          </w:divsChild>
        </w:div>
        <w:div w:id="1431387737">
          <w:marLeft w:val="0"/>
          <w:marRight w:val="0"/>
          <w:marTop w:val="0"/>
          <w:marBottom w:val="0"/>
          <w:divBdr>
            <w:top w:val="none" w:sz="0" w:space="0" w:color="auto"/>
            <w:left w:val="none" w:sz="0" w:space="0" w:color="auto"/>
            <w:bottom w:val="none" w:sz="0" w:space="0" w:color="auto"/>
            <w:right w:val="none" w:sz="0" w:space="0" w:color="auto"/>
          </w:divBdr>
          <w:divsChild>
            <w:div w:id="1490830136">
              <w:marLeft w:val="0"/>
              <w:marRight w:val="0"/>
              <w:marTop w:val="0"/>
              <w:marBottom w:val="0"/>
              <w:divBdr>
                <w:top w:val="none" w:sz="0" w:space="0" w:color="auto"/>
                <w:left w:val="none" w:sz="0" w:space="0" w:color="auto"/>
                <w:bottom w:val="none" w:sz="0" w:space="0" w:color="auto"/>
                <w:right w:val="none" w:sz="0" w:space="0" w:color="auto"/>
              </w:divBdr>
              <w:divsChild>
                <w:div w:id="177000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449</Words>
  <Characters>2565</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 User</dc:creator>
  <cp:keywords/>
  <dc:description/>
  <cp:lastModifiedBy>Хрулева Дина Анатольевна</cp:lastModifiedBy>
  <cp:revision>4</cp:revision>
  <cp:lastPrinted>2021-10-07T11:37:00Z</cp:lastPrinted>
  <dcterms:created xsi:type="dcterms:W3CDTF">2021-10-07T11:19:00Z</dcterms:created>
  <dcterms:modified xsi:type="dcterms:W3CDTF">2021-10-08T06:56:00Z</dcterms:modified>
</cp:coreProperties>
</file>