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FAAD" w14:textId="43D6E2CA" w:rsidR="00E239F4" w:rsidRPr="00E239F4" w:rsidRDefault="00E239F4" w:rsidP="00BD7478">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b/>
          <w:bCs/>
          <w:color w:val="333333"/>
          <w:sz w:val="24"/>
          <w:szCs w:val="24"/>
          <w:lang w:eastAsia="ru-RU"/>
        </w:rPr>
        <w:t>Ответственность за совершение хищений, имеющих признаки малозначительности.</w:t>
      </w:r>
    </w:p>
    <w:p w14:paraId="56FB7B50"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color w:val="333333"/>
          <w:sz w:val="24"/>
          <w:szCs w:val="24"/>
          <w:lang w:eastAsia="ru-RU"/>
        </w:rPr>
        <w:t>Согласно ч. 2 ст. 14 УК РФ не является преступлением действие (бездействие), хотя формально и содержащее признаки какого-либо деяния, предусмотренного УК, но в силу малозначительности не представляющее общественной опасности.</w:t>
      </w:r>
    </w:p>
    <w:p w14:paraId="08B69C4F"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color w:val="333333"/>
          <w:sz w:val="24"/>
          <w:szCs w:val="24"/>
          <w:lang w:eastAsia="ru-RU"/>
        </w:rPr>
        <w:t>Вопрос о признании малозначительности деяния, в частности хищения, относится к компетенции органов предварительного расследования и суда. Уголовное дело в случае малозначительности деяния не может быть возбуждено, а возбужденное дело подлежит прекращению за отсутствием в деянии состава преступления по признакам п. 2 ч. 1 ст.24 УПК РФ.</w:t>
      </w:r>
    </w:p>
    <w:p w14:paraId="609739EB"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color w:val="333333"/>
          <w:sz w:val="24"/>
          <w:szCs w:val="24"/>
          <w:lang w:eastAsia="ru-RU"/>
        </w:rPr>
        <w:t>Таким образом, для определения малозначительности в каждом конкретном случае органы предварительного расследования и суд должны устанавливать степень общественной опасности совершенного деяния. </w:t>
      </w:r>
    </w:p>
    <w:p w14:paraId="2495E78E"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E239F4">
        <w:rPr>
          <w:rFonts w:ascii="Times New Roman" w:eastAsia="Times New Roman" w:hAnsi="Times New Roman" w:cs="Times New Roman"/>
          <w:color w:val="333333"/>
          <w:sz w:val="24"/>
          <w:szCs w:val="24"/>
          <w:lang w:eastAsia="ru-RU"/>
        </w:rPr>
        <w:t>В частности</w:t>
      </w:r>
      <w:proofErr w:type="gramEnd"/>
      <w:r w:rsidRPr="00E239F4">
        <w:rPr>
          <w:rFonts w:ascii="Times New Roman" w:eastAsia="Times New Roman" w:hAnsi="Times New Roman" w:cs="Times New Roman"/>
          <w:color w:val="333333"/>
          <w:sz w:val="24"/>
          <w:szCs w:val="24"/>
          <w:lang w:eastAsia="ru-RU"/>
        </w:rPr>
        <w:t xml:space="preserve"> для определения малозначительности при хищении в первую очередь учитывается размер ущерба.</w:t>
      </w:r>
    </w:p>
    <w:p w14:paraId="25E0FDBE"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color w:val="333333"/>
          <w:sz w:val="24"/>
          <w:szCs w:val="24"/>
          <w:lang w:eastAsia="ru-RU"/>
        </w:rPr>
        <w:t>Так, уголовное наказание за совершение кражи (ч. 1 ст. 158 УК РФ), мошенничества (ч. 1 ст. 159 УК РФ), присвоения и растраты (ч. 1 ст. 160 УК РФ) наступает только при сумме ущерба более 2500 рублей. При размере хищения до 2500 рублей действия лица будут квалифицироваться как административное правонарушение. Но и здесь есть свои исключения, которые напрямую связаны с повторностью совершения хищений на сумму, не превышающую 2 500 рублей, а также со способом совершения хищения.</w:t>
      </w:r>
    </w:p>
    <w:p w14:paraId="43731C9E"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color w:val="333333"/>
          <w:sz w:val="24"/>
          <w:szCs w:val="24"/>
          <w:lang w:eastAsia="ru-RU"/>
        </w:rPr>
        <w:t>Уголовным кодексом Российской Федерации в статье 158.1 предусмотрена уголовная ответственность за совершение мелкого хищения, которая наступает при условии, если на момент совершения мелкого хищения чужого имущества стоимостью не более 2500 рублей путем кражи, мошенничества или растраты виновный является лицом, подвергнутым административному наказанию за мелкое хищение чужого имущества стоимостью более 1000 рублей, но не более 2500 рублей, т.е. в случае повторного мелкого хищения чужого имущества.</w:t>
      </w:r>
    </w:p>
    <w:p w14:paraId="321DB4E3"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color w:val="333333"/>
          <w:sz w:val="24"/>
          <w:szCs w:val="24"/>
          <w:lang w:eastAsia="ru-RU"/>
        </w:rPr>
        <w:t>Кроме того, за хищения, совершенные путем грабежа, т.е. открыто для потерпевшего и других лиц, а также группой лиц по предварительному сговору; организованной группой; с незаконным проникновением в жилище, помещение или иное хранилище; из одежды, сумки или другой ручной клади, находившихся при потерпевшем; из нефтепровода, нефтепродуктопровода, газопровода; с банковского счета, лицо будет нести уголовную ответственность даже при сумме ущерба менее 2 500 рублей.</w:t>
      </w:r>
    </w:p>
    <w:p w14:paraId="38B139FD"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239F4">
        <w:rPr>
          <w:rFonts w:ascii="Times New Roman" w:eastAsia="Times New Roman" w:hAnsi="Times New Roman" w:cs="Times New Roman"/>
          <w:color w:val="333333"/>
          <w:sz w:val="24"/>
          <w:szCs w:val="24"/>
          <w:lang w:eastAsia="ru-RU"/>
        </w:rPr>
        <w:t>Несмотря на это, даже в случаях совершения хищений вышеуказанными способами при условии причинения ущерба на сумму менее 2 500 рублей, органы предварительного расследования и суд, решая вопрос о малозначительности хищения, учитывают совокупность таких обстоятельств, как степень реализации преступных намерений, размер похищенного, роль в преступлении, совершенном в соучастии, характер обстоятельств, способствовавших совершению преступления.</w:t>
      </w:r>
    </w:p>
    <w:p w14:paraId="28F51058" w14:textId="77777777" w:rsidR="00BD7478" w:rsidRDefault="00BD7478" w:rsidP="00BD7478">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080F7EE4" w14:textId="1E511DE8" w:rsidR="00BD7478" w:rsidRPr="00BD7478" w:rsidRDefault="00BD7478" w:rsidP="00BD7478">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D7478">
        <w:rPr>
          <w:rFonts w:ascii="Times New Roman" w:eastAsia="Times New Roman" w:hAnsi="Times New Roman" w:cs="Times New Roman"/>
          <w:color w:val="333333"/>
          <w:sz w:val="24"/>
          <w:szCs w:val="24"/>
          <w:lang w:eastAsia="ru-RU"/>
        </w:rPr>
        <w:t>И.о</w:t>
      </w:r>
      <w:proofErr w:type="spellEnd"/>
      <w:r w:rsidRPr="00BD7478">
        <w:rPr>
          <w:rFonts w:ascii="Times New Roman" w:eastAsia="Times New Roman" w:hAnsi="Times New Roman" w:cs="Times New Roman"/>
          <w:color w:val="333333"/>
          <w:sz w:val="24"/>
          <w:szCs w:val="24"/>
          <w:lang w:eastAsia="ru-RU"/>
        </w:rPr>
        <w:t xml:space="preserve">. прокурора города </w:t>
      </w:r>
    </w:p>
    <w:p w14:paraId="5583A0C8" w14:textId="77777777" w:rsidR="00BD7478" w:rsidRPr="00E239F4" w:rsidRDefault="00BD7478" w:rsidP="00BD747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D7478">
        <w:rPr>
          <w:rFonts w:ascii="Times New Roman" w:eastAsia="Times New Roman" w:hAnsi="Times New Roman" w:cs="Times New Roman"/>
          <w:color w:val="333333"/>
          <w:sz w:val="24"/>
          <w:szCs w:val="24"/>
          <w:lang w:eastAsia="ru-RU"/>
        </w:rPr>
        <w:t xml:space="preserve">советник юстиции                                                                    </w:t>
      </w:r>
      <w:r>
        <w:rPr>
          <w:rFonts w:ascii="Times New Roman" w:eastAsia="Times New Roman" w:hAnsi="Times New Roman" w:cs="Times New Roman"/>
          <w:color w:val="333333"/>
          <w:sz w:val="24"/>
          <w:szCs w:val="24"/>
          <w:lang w:eastAsia="ru-RU"/>
        </w:rPr>
        <w:t xml:space="preserve">                    </w:t>
      </w:r>
      <w:r w:rsidRPr="00BD7478">
        <w:rPr>
          <w:rFonts w:ascii="Times New Roman" w:eastAsia="Times New Roman" w:hAnsi="Times New Roman" w:cs="Times New Roman"/>
          <w:color w:val="333333"/>
          <w:sz w:val="24"/>
          <w:szCs w:val="24"/>
          <w:lang w:eastAsia="ru-RU"/>
        </w:rPr>
        <w:t xml:space="preserve">          И.В. Борисенко</w:t>
      </w:r>
    </w:p>
    <w:p w14:paraId="35BBFC16" w14:textId="77777777" w:rsidR="00BD7478" w:rsidRPr="00BD7478" w:rsidRDefault="00BD7478" w:rsidP="00BD7478">
      <w:pPr>
        <w:shd w:val="clear" w:color="auto" w:fill="FFFFFF"/>
        <w:spacing w:line="540" w:lineRule="atLeast"/>
        <w:jc w:val="center"/>
        <w:rPr>
          <w:rFonts w:ascii="Times New Roman" w:eastAsia="Times New Roman" w:hAnsi="Times New Roman" w:cs="Times New Roman"/>
          <w:b/>
          <w:bCs/>
          <w:color w:val="333333"/>
          <w:sz w:val="27"/>
          <w:szCs w:val="27"/>
          <w:lang w:eastAsia="ru-RU"/>
        </w:rPr>
      </w:pPr>
    </w:p>
    <w:p w14:paraId="5363A798" w14:textId="77777777" w:rsidR="00BD7478" w:rsidRDefault="00BD7478" w:rsidP="00BD7478">
      <w:pPr>
        <w:shd w:val="clear" w:color="auto" w:fill="FFFFFF"/>
        <w:spacing w:line="540" w:lineRule="atLeast"/>
        <w:rPr>
          <w:rFonts w:ascii="Times New Roman" w:eastAsia="Times New Roman" w:hAnsi="Times New Roman" w:cs="Times New Roman"/>
          <w:color w:val="333333"/>
          <w:sz w:val="20"/>
          <w:szCs w:val="20"/>
          <w:lang w:eastAsia="ru-RU"/>
        </w:rPr>
      </w:pPr>
    </w:p>
    <w:p w14:paraId="31214A09" w14:textId="77777777" w:rsidR="00BD7478" w:rsidRPr="00BD7478" w:rsidRDefault="00BD7478" w:rsidP="00BD7478">
      <w:pPr>
        <w:shd w:val="clear" w:color="auto" w:fill="FFFFFF"/>
        <w:spacing w:line="540" w:lineRule="atLeast"/>
        <w:rPr>
          <w:rFonts w:ascii="Times New Roman" w:eastAsia="Times New Roman" w:hAnsi="Times New Roman" w:cs="Times New Roman"/>
          <w:color w:val="333333"/>
          <w:sz w:val="20"/>
          <w:szCs w:val="20"/>
          <w:lang w:eastAsia="ru-RU"/>
        </w:rPr>
      </w:pPr>
      <w:r w:rsidRPr="00BD7478">
        <w:rPr>
          <w:rFonts w:ascii="Times New Roman" w:eastAsia="Times New Roman" w:hAnsi="Times New Roman" w:cs="Times New Roman"/>
          <w:color w:val="333333"/>
          <w:sz w:val="20"/>
          <w:szCs w:val="20"/>
          <w:lang w:eastAsia="ru-RU"/>
        </w:rPr>
        <w:t>Д.А. Хрулева, тел. 5-13-82</w:t>
      </w:r>
    </w:p>
    <w:p w14:paraId="020A6A5E" w14:textId="77777777" w:rsidR="00E239F4" w:rsidRPr="00E239F4" w:rsidRDefault="00E239F4" w:rsidP="00BD747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39F4">
        <w:rPr>
          <w:rFonts w:ascii="Times New Roman" w:eastAsia="Times New Roman" w:hAnsi="Times New Roman" w:cs="Times New Roman"/>
          <w:color w:val="333333"/>
          <w:sz w:val="28"/>
          <w:szCs w:val="28"/>
          <w:lang w:eastAsia="ru-RU"/>
        </w:rPr>
        <w:t> </w:t>
      </w:r>
      <w:bookmarkStart w:id="0" w:name="_GoBack"/>
      <w:bookmarkEnd w:id="0"/>
    </w:p>
    <w:sectPr w:rsidR="00E239F4" w:rsidRPr="00E23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F4"/>
    <w:rsid w:val="005946FA"/>
    <w:rsid w:val="00B2100D"/>
    <w:rsid w:val="00BD7478"/>
    <w:rsid w:val="00E2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D45C"/>
  <w15:chartTrackingRefBased/>
  <w15:docId w15:val="{93F2DAE6-8936-4FA9-9B0E-F1439289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7764">
      <w:bodyDiv w:val="1"/>
      <w:marLeft w:val="0"/>
      <w:marRight w:val="0"/>
      <w:marTop w:val="0"/>
      <w:marBottom w:val="0"/>
      <w:divBdr>
        <w:top w:val="none" w:sz="0" w:space="0" w:color="auto"/>
        <w:left w:val="none" w:sz="0" w:space="0" w:color="auto"/>
        <w:bottom w:val="none" w:sz="0" w:space="0" w:color="auto"/>
        <w:right w:val="none" w:sz="0" w:space="0" w:color="auto"/>
      </w:divBdr>
      <w:divsChild>
        <w:div w:id="118572283">
          <w:marLeft w:val="0"/>
          <w:marRight w:val="0"/>
          <w:marTop w:val="0"/>
          <w:marBottom w:val="960"/>
          <w:divBdr>
            <w:top w:val="none" w:sz="0" w:space="0" w:color="auto"/>
            <w:left w:val="none" w:sz="0" w:space="0" w:color="auto"/>
            <w:bottom w:val="none" w:sz="0" w:space="0" w:color="auto"/>
            <w:right w:val="none" w:sz="0" w:space="0" w:color="auto"/>
          </w:divBdr>
        </w:div>
        <w:div w:id="1603145340">
          <w:marLeft w:val="0"/>
          <w:marRight w:val="720"/>
          <w:marTop w:val="0"/>
          <w:marBottom w:val="0"/>
          <w:divBdr>
            <w:top w:val="none" w:sz="0" w:space="0" w:color="auto"/>
            <w:left w:val="none" w:sz="0" w:space="0" w:color="auto"/>
            <w:bottom w:val="none" w:sz="0" w:space="0" w:color="auto"/>
            <w:right w:val="none" w:sz="0" w:space="0" w:color="auto"/>
          </w:divBdr>
          <w:divsChild>
            <w:div w:id="2114086095">
              <w:marLeft w:val="0"/>
              <w:marRight w:val="0"/>
              <w:marTop w:val="0"/>
              <w:marBottom w:val="120"/>
              <w:divBdr>
                <w:top w:val="none" w:sz="0" w:space="0" w:color="auto"/>
                <w:left w:val="none" w:sz="0" w:space="0" w:color="auto"/>
                <w:bottom w:val="none" w:sz="0" w:space="0" w:color="auto"/>
                <w:right w:val="none" w:sz="0" w:space="0" w:color="auto"/>
              </w:divBdr>
            </w:div>
            <w:div w:id="2019964120">
              <w:marLeft w:val="0"/>
              <w:marRight w:val="0"/>
              <w:marTop w:val="0"/>
              <w:marBottom w:val="120"/>
              <w:divBdr>
                <w:top w:val="none" w:sz="0" w:space="0" w:color="auto"/>
                <w:left w:val="none" w:sz="0" w:space="0" w:color="auto"/>
                <w:bottom w:val="none" w:sz="0" w:space="0" w:color="auto"/>
                <w:right w:val="none" w:sz="0" w:space="0" w:color="auto"/>
              </w:divBdr>
            </w:div>
          </w:divsChild>
        </w:div>
        <w:div w:id="421875218">
          <w:marLeft w:val="0"/>
          <w:marRight w:val="0"/>
          <w:marTop w:val="0"/>
          <w:marBottom w:val="0"/>
          <w:divBdr>
            <w:top w:val="none" w:sz="0" w:space="0" w:color="auto"/>
            <w:left w:val="none" w:sz="0" w:space="0" w:color="auto"/>
            <w:bottom w:val="none" w:sz="0" w:space="0" w:color="auto"/>
            <w:right w:val="none" w:sz="0" w:space="0" w:color="auto"/>
          </w:divBdr>
          <w:divsChild>
            <w:div w:id="766005391">
              <w:marLeft w:val="0"/>
              <w:marRight w:val="0"/>
              <w:marTop w:val="0"/>
              <w:marBottom w:val="0"/>
              <w:divBdr>
                <w:top w:val="none" w:sz="0" w:space="0" w:color="auto"/>
                <w:left w:val="none" w:sz="0" w:space="0" w:color="auto"/>
                <w:bottom w:val="none" w:sz="0" w:space="0" w:color="auto"/>
                <w:right w:val="none" w:sz="0" w:space="0" w:color="auto"/>
              </w:divBdr>
              <w:divsChild>
                <w:div w:id="1196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2631">
      <w:bodyDiv w:val="1"/>
      <w:marLeft w:val="0"/>
      <w:marRight w:val="0"/>
      <w:marTop w:val="0"/>
      <w:marBottom w:val="0"/>
      <w:divBdr>
        <w:top w:val="none" w:sz="0" w:space="0" w:color="auto"/>
        <w:left w:val="none" w:sz="0" w:space="0" w:color="auto"/>
        <w:bottom w:val="none" w:sz="0" w:space="0" w:color="auto"/>
        <w:right w:val="none" w:sz="0" w:space="0" w:color="auto"/>
      </w:divBdr>
      <w:divsChild>
        <w:div w:id="2122147905">
          <w:marLeft w:val="0"/>
          <w:marRight w:val="0"/>
          <w:marTop w:val="0"/>
          <w:marBottom w:val="960"/>
          <w:divBdr>
            <w:top w:val="none" w:sz="0" w:space="0" w:color="auto"/>
            <w:left w:val="none" w:sz="0" w:space="0" w:color="auto"/>
            <w:bottom w:val="none" w:sz="0" w:space="0" w:color="auto"/>
            <w:right w:val="none" w:sz="0" w:space="0" w:color="auto"/>
          </w:divBdr>
        </w:div>
        <w:div w:id="1501307698">
          <w:marLeft w:val="0"/>
          <w:marRight w:val="720"/>
          <w:marTop w:val="0"/>
          <w:marBottom w:val="0"/>
          <w:divBdr>
            <w:top w:val="none" w:sz="0" w:space="0" w:color="auto"/>
            <w:left w:val="none" w:sz="0" w:space="0" w:color="auto"/>
            <w:bottom w:val="none" w:sz="0" w:space="0" w:color="auto"/>
            <w:right w:val="none" w:sz="0" w:space="0" w:color="auto"/>
          </w:divBdr>
          <w:divsChild>
            <w:div w:id="793063191">
              <w:marLeft w:val="0"/>
              <w:marRight w:val="0"/>
              <w:marTop w:val="0"/>
              <w:marBottom w:val="120"/>
              <w:divBdr>
                <w:top w:val="none" w:sz="0" w:space="0" w:color="auto"/>
                <w:left w:val="none" w:sz="0" w:space="0" w:color="auto"/>
                <w:bottom w:val="none" w:sz="0" w:space="0" w:color="auto"/>
                <w:right w:val="none" w:sz="0" w:space="0" w:color="auto"/>
              </w:divBdr>
            </w:div>
            <w:div w:id="368647009">
              <w:marLeft w:val="0"/>
              <w:marRight w:val="0"/>
              <w:marTop w:val="0"/>
              <w:marBottom w:val="120"/>
              <w:divBdr>
                <w:top w:val="none" w:sz="0" w:space="0" w:color="auto"/>
                <w:left w:val="none" w:sz="0" w:space="0" w:color="auto"/>
                <w:bottom w:val="none" w:sz="0" w:space="0" w:color="auto"/>
                <w:right w:val="none" w:sz="0" w:space="0" w:color="auto"/>
              </w:divBdr>
            </w:div>
          </w:divsChild>
        </w:div>
        <w:div w:id="1405836148">
          <w:marLeft w:val="0"/>
          <w:marRight w:val="0"/>
          <w:marTop w:val="0"/>
          <w:marBottom w:val="0"/>
          <w:divBdr>
            <w:top w:val="none" w:sz="0" w:space="0" w:color="auto"/>
            <w:left w:val="none" w:sz="0" w:space="0" w:color="auto"/>
            <w:bottom w:val="none" w:sz="0" w:space="0" w:color="auto"/>
            <w:right w:val="none" w:sz="0" w:space="0" w:color="auto"/>
          </w:divBdr>
          <w:divsChild>
            <w:div w:id="483278080">
              <w:marLeft w:val="0"/>
              <w:marRight w:val="0"/>
              <w:marTop w:val="0"/>
              <w:marBottom w:val="0"/>
              <w:divBdr>
                <w:top w:val="none" w:sz="0" w:space="0" w:color="auto"/>
                <w:left w:val="none" w:sz="0" w:space="0" w:color="auto"/>
                <w:bottom w:val="none" w:sz="0" w:space="0" w:color="auto"/>
                <w:right w:val="none" w:sz="0" w:space="0" w:color="auto"/>
              </w:divBdr>
              <w:divsChild>
                <w:div w:id="14640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4180">
      <w:bodyDiv w:val="1"/>
      <w:marLeft w:val="0"/>
      <w:marRight w:val="0"/>
      <w:marTop w:val="0"/>
      <w:marBottom w:val="0"/>
      <w:divBdr>
        <w:top w:val="none" w:sz="0" w:space="0" w:color="auto"/>
        <w:left w:val="none" w:sz="0" w:space="0" w:color="auto"/>
        <w:bottom w:val="none" w:sz="0" w:space="0" w:color="auto"/>
        <w:right w:val="none" w:sz="0" w:space="0" w:color="auto"/>
      </w:divBdr>
      <w:divsChild>
        <w:div w:id="439759575">
          <w:marLeft w:val="0"/>
          <w:marRight w:val="0"/>
          <w:marTop w:val="0"/>
          <w:marBottom w:val="960"/>
          <w:divBdr>
            <w:top w:val="none" w:sz="0" w:space="0" w:color="auto"/>
            <w:left w:val="none" w:sz="0" w:space="0" w:color="auto"/>
            <w:bottom w:val="none" w:sz="0" w:space="0" w:color="auto"/>
            <w:right w:val="none" w:sz="0" w:space="0" w:color="auto"/>
          </w:divBdr>
        </w:div>
        <w:div w:id="1413965106">
          <w:marLeft w:val="0"/>
          <w:marRight w:val="720"/>
          <w:marTop w:val="0"/>
          <w:marBottom w:val="0"/>
          <w:divBdr>
            <w:top w:val="none" w:sz="0" w:space="0" w:color="auto"/>
            <w:left w:val="none" w:sz="0" w:space="0" w:color="auto"/>
            <w:bottom w:val="none" w:sz="0" w:space="0" w:color="auto"/>
            <w:right w:val="none" w:sz="0" w:space="0" w:color="auto"/>
          </w:divBdr>
          <w:divsChild>
            <w:div w:id="1898081095">
              <w:marLeft w:val="0"/>
              <w:marRight w:val="0"/>
              <w:marTop w:val="0"/>
              <w:marBottom w:val="120"/>
              <w:divBdr>
                <w:top w:val="none" w:sz="0" w:space="0" w:color="auto"/>
                <w:left w:val="none" w:sz="0" w:space="0" w:color="auto"/>
                <w:bottom w:val="none" w:sz="0" w:space="0" w:color="auto"/>
                <w:right w:val="none" w:sz="0" w:space="0" w:color="auto"/>
              </w:divBdr>
            </w:div>
            <w:div w:id="692077915">
              <w:marLeft w:val="0"/>
              <w:marRight w:val="0"/>
              <w:marTop w:val="0"/>
              <w:marBottom w:val="120"/>
              <w:divBdr>
                <w:top w:val="none" w:sz="0" w:space="0" w:color="auto"/>
                <w:left w:val="none" w:sz="0" w:space="0" w:color="auto"/>
                <w:bottom w:val="none" w:sz="0" w:space="0" w:color="auto"/>
                <w:right w:val="none" w:sz="0" w:space="0" w:color="auto"/>
              </w:divBdr>
            </w:div>
          </w:divsChild>
        </w:div>
        <w:div w:id="1082139037">
          <w:marLeft w:val="0"/>
          <w:marRight w:val="0"/>
          <w:marTop w:val="0"/>
          <w:marBottom w:val="0"/>
          <w:divBdr>
            <w:top w:val="none" w:sz="0" w:space="0" w:color="auto"/>
            <w:left w:val="none" w:sz="0" w:space="0" w:color="auto"/>
            <w:bottom w:val="none" w:sz="0" w:space="0" w:color="auto"/>
            <w:right w:val="none" w:sz="0" w:space="0" w:color="auto"/>
          </w:divBdr>
          <w:divsChild>
            <w:div w:id="19550118">
              <w:marLeft w:val="0"/>
              <w:marRight w:val="0"/>
              <w:marTop w:val="0"/>
              <w:marBottom w:val="0"/>
              <w:divBdr>
                <w:top w:val="none" w:sz="0" w:space="0" w:color="auto"/>
                <w:left w:val="none" w:sz="0" w:space="0" w:color="auto"/>
                <w:bottom w:val="none" w:sz="0" w:space="0" w:color="auto"/>
                <w:right w:val="none" w:sz="0" w:space="0" w:color="auto"/>
              </w:divBdr>
              <w:divsChild>
                <w:div w:id="13741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5083">
      <w:bodyDiv w:val="1"/>
      <w:marLeft w:val="0"/>
      <w:marRight w:val="0"/>
      <w:marTop w:val="0"/>
      <w:marBottom w:val="0"/>
      <w:divBdr>
        <w:top w:val="none" w:sz="0" w:space="0" w:color="auto"/>
        <w:left w:val="none" w:sz="0" w:space="0" w:color="auto"/>
        <w:bottom w:val="none" w:sz="0" w:space="0" w:color="auto"/>
        <w:right w:val="none" w:sz="0" w:space="0" w:color="auto"/>
      </w:divBdr>
      <w:divsChild>
        <w:div w:id="1879275228">
          <w:marLeft w:val="0"/>
          <w:marRight w:val="0"/>
          <w:marTop w:val="0"/>
          <w:marBottom w:val="960"/>
          <w:divBdr>
            <w:top w:val="none" w:sz="0" w:space="0" w:color="auto"/>
            <w:left w:val="none" w:sz="0" w:space="0" w:color="auto"/>
            <w:bottom w:val="none" w:sz="0" w:space="0" w:color="auto"/>
            <w:right w:val="none" w:sz="0" w:space="0" w:color="auto"/>
          </w:divBdr>
        </w:div>
        <w:div w:id="880752641">
          <w:marLeft w:val="0"/>
          <w:marRight w:val="720"/>
          <w:marTop w:val="0"/>
          <w:marBottom w:val="0"/>
          <w:divBdr>
            <w:top w:val="none" w:sz="0" w:space="0" w:color="auto"/>
            <w:left w:val="none" w:sz="0" w:space="0" w:color="auto"/>
            <w:bottom w:val="none" w:sz="0" w:space="0" w:color="auto"/>
            <w:right w:val="none" w:sz="0" w:space="0" w:color="auto"/>
          </w:divBdr>
          <w:divsChild>
            <w:div w:id="194463715">
              <w:marLeft w:val="0"/>
              <w:marRight w:val="0"/>
              <w:marTop w:val="0"/>
              <w:marBottom w:val="120"/>
              <w:divBdr>
                <w:top w:val="none" w:sz="0" w:space="0" w:color="auto"/>
                <w:left w:val="none" w:sz="0" w:space="0" w:color="auto"/>
                <w:bottom w:val="none" w:sz="0" w:space="0" w:color="auto"/>
                <w:right w:val="none" w:sz="0" w:space="0" w:color="auto"/>
              </w:divBdr>
            </w:div>
            <w:div w:id="1527712046">
              <w:marLeft w:val="0"/>
              <w:marRight w:val="0"/>
              <w:marTop w:val="0"/>
              <w:marBottom w:val="120"/>
              <w:divBdr>
                <w:top w:val="none" w:sz="0" w:space="0" w:color="auto"/>
                <w:left w:val="none" w:sz="0" w:space="0" w:color="auto"/>
                <w:bottom w:val="none" w:sz="0" w:space="0" w:color="auto"/>
                <w:right w:val="none" w:sz="0" w:space="0" w:color="auto"/>
              </w:divBdr>
            </w:div>
          </w:divsChild>
        </w:div>
        <w:div w:id="2097818201">
          <w:marLeft w:val="0"/>
          <w:marRight w:val="0"/>
          <w:marTop w:val="0"/>
          <w:marBottom w:val="0"/>
          <w:divBdr>
            <w:top w:val="none" w:sz="0" w:space="0" w:color="auto"/>
            <w:left w:val="none" w:sz="0" w:space="0" w:color="auto"/>
            <w:bottom w:val="none" w:sz="0" w:space="0" w:color="auto"/>
            <w:right w:val="none" w:sz="0" w:space="0" w:color="auto"/>
          </w:divBdr>
          <w:divsChild>
            <w:div w:id="162011254">
              <w:marLeft w:val="0"/>
              <w:marRight w:val="0"/>
              <w:marTop w:val="0"/>
              <w:marBottom w:val="0"/>
              <w:divBdr>
                <w:top w:val="none" w:sz="0" w:space="0" w:color="auto"/>
                <w:left w:val="none" w:sz="0" w:space="0" w:color="auto"/>
                <w:bottom w:val="none" w:sz="0" w:space="0" w:color="auto"/>
                <w:right w:val="none" w:sz="0" w:space="0" w:color="auto"/>
              </w:divBdr>
              <w:divsChild>
                <w:div w:id="3208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86971">
      <w:bodyDiv w:val="1"/>
      <w:marLeft w:val="0"/>
      <w:marRight w:val="0"/>
      <w:marTop w:val="0"/>
      <w:marBottom w:val="0"/>
      <w:divBdr>
        <w:top w:val="none" w:sz="0" w:space="0" w:color="auto"/>
        <w:left w:val="none" w:sz="0" w:space="0" w:color="auto"/>
        <w:bottom w:val="none" w:sz="0" w:space="0" w:color="auto"/>
        <w:right w:val="none" w:sz="0" w:space="0" w:color="auto"/>
      </w:divBdr>
      <w:divsChild>
        <w:div w:id="995305083">
          <w:marLeft w:val="0"/>
          <w:marRight w:val="0"/>
          <w:marTop w:val="0"/>
          <w:marBottom w:val="960"/>
          <w:divBdr>
            <w:top w:val="none" w:sz="0" w:space="0" w:color="auto"/>
            <w:left w:val="none" w:sz="0" w:space="0" w:color="auto"/>
            <w:bottom w:val="none" w:sz="0" w:space="0" w:color="auto"/>
            <w:right w:val="none" w:sz="0" w:space="0" w:color="auto"/>
          </w:divBdr>
        </w:div>
        <w:div w:id="904026217">
          <w:marLeft w:val="0"/>
          <w:marRight w:val="720"/>
          <w:marTop w:val="0"/>
          <w:marBottom w:val="0"/>
          <w:divBdr>
            <w:top w:val="none" w:sz="0" w:space="0" w:color="auto"/>
            <w:left w:val="none" w:sz="0" w:space="0" w:color="auto"/>
            <w:bottom w:val="none" w:sz="0" w:space="0" w:color="auto"/>
            <w:right w:val="none" w:sz="0" w:space="0" w:color="auto"/>
          </w:divBdr>
          <w:divsChild>
            <w:div w:id="1372026397">
              <w:marLeft w:val="0"/>
              <w:marRight w:val="0"/>
              <w:marTop w:val="0"/>
              <w:marBottom w:val="120"/>
              <w:divBdr>
                <w:top w:val="none" w:sz="0" w:space="0" w:color="auto"/>
                <w:left w:val="none" w:sz="0" w:space="0" w:color="auto"/>
                <w:bottom w:val="none" w:sz="0" w:space="0" w:color="auto"/>
                <w:right w:val="none" w:sz="0" w:space="0" w:color="auto"/>
              </w:divBdr>
            </w:div>
            <w:div w:id="1453282441">
              <w:marLeft w:val="0"/>
              <w:marRight w:val="0"/>
              <w:marTop w:val="0"/>
              <w:marBottom w:val="120"/>
              <w:divBdr>
                <w:top w:val="none" w:sz="0" w:space="0" w:color="auto"/>
                <w:left w:val="none" w:sz="0" w:space="0" w:color="auto"/>
                <w:bottom w:val="none" w:sz="0" w:space="0" w:color="auto"/>
                <w:right w:val="none" w:sz="0" w:space="0" w:color="auto"/>
              </w:divBdr>
            </w:div>
          </w:divsChild>
        </w:div>
        <w:div w:id="395204540">
          <w:marLeft w:val="0"/>
          <w:marRight w:val="0"/>
          <w:marTop w:val="0"/>
          <w:marBottom w:val="0"/>
          <w:divBdr>
            <w:top w:val="none" w:sz="0" w:space="0" w:color="auto"/>
            <w:left w:val="none" w:sz="0" w:space="0" w:color="auto"/>
            <w:bottom w:val="none" w:sz="0" w:space="0" w:color="auto"/>
            <w:right w:val="none" w:sz="0" w:space="0" w:color="auto"/>
          </w:divBdr>
          <w:divsChild>
            <w:div w:id="2067754469">
              <w:marLeft w:val="0"/>
              <w:marRight w:val="0"/>
              <w:marTop w:val="0"/>
              <w:marBottom w:val="0"/>
              <w:divBdr>
                <w:top w:val="none" w:sz="0" w:space="0" w:color="auto"/>
                <w:left w:val="none" w:sz="0" w:space="0" w:color="auto"/>
                <w:bottom w:val="none" w:sz="0" w:space="0" w:color="auto"/>
                <w:right w:val="none" w:sz="0" w:space="0" w:color="auto"/>
              </w:divBdr>
              <w:divsChild>
                <w:div w:id="12891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sChild>
        <w:div w:id="324013312">
          <w:marLeft w:val="0"/>
          <w:marRight w:val="0"/>
          <w:marTop w:val="0"/>
          <w:marBottom w:val="960"/>
          <w:divBdr>
            <w:top w:val="none" w:sz="0" w:space="0" w:color="auto"/>
            <w:left w:val="none" w:sz="0" w:space="0" w:color="auto"/>
            <w:bottom w:val="none" w:sz="0" w:space="0" w:color="auto"/>
            <w:right w:val="none" w:sz="0" w:space="0" w:color="auto"/>
          </w:divBdr>
        </w:div>
        <w:div w:id="1243639665">
          <w:marLeft w:val="0"/>
          <w:marRight w:val="720"/>
          <w:marTop w:val="0"/>
          <w:marBottom w:val="0"/>
          <w:divBdr>
            <w:top w:val="none" w:sz="0" w:space="0" w:color="auto"/>
            <w:left w:val="none" w:sz="0" w:space="0" w:color="auto"/>
            <w:bottom w:val="none" w:sz="0" w:space="0" w:color="auto"/>
            <w:right w:val="none" w:sz="0" w:space="0" w:color="auto"/>
          </w:divBdr>
          <w:divsChild>
            <w:div w:id="863514004">
              <w:marLeft w:val="0"/>
              <w:marRight w:val="0"/>
              <w:marTop w:val="0"/>
              <w:marBottom w:val="120"/>
              <w:divBdr>
                <w:top w:val="none" w:sz="0" w:space="0" w:color="auto"/>
                <w:left w:val="none" w:sz="0" w:space="0" w:color="auto"/>
                <w:bottom w:val="none" w:sz="0" w:space="0" w:color="auto"/>
                <w:right w:val="none" w:sz="0" w:space="0" w:color="auto"/>
              </w:divBdr>
            </w:div>
            <w:div w:id="759061472">
              <w:marLeft w:val="0"/>
              <w:marRight w:val="0"/>
              <w:marTop w:val="0"/>
              <w:marBottom w:val="120"/>
              <w:divBdr>
                <w:top w:val="none" w:sz="0" w:space="0" w:color="auto"/>
                <w:left w:val="none" w:sz="0" w:space="0" w:color="auto"/>
                <w:bottom w:val="none" w:sz="0" w:space="0" w:color="auto"/>
                <w:right w:val="none" w:sz="0" w:space="0" w:color="auto"/>
              </w:divBdr>
            </w:div>
          </w:divsChild>
        </w:div>
        <w:div w:id="1431387737">
          <w:marLeft w:val="0"/>
          <w:marRight w:val="0"/>
          <w:marTop w:val="0"/>
          <w:marBottom w:val="0"/>
          <w:divBdr>
            <w:top w:val="none" w:sz="0" w:space="0" w:color="auto"/>
            <w:left w:val="none" w:sz="0" w:space="0" w:color="auto"/>
            <w:bottom w:val="none" w:sz="0" w:space="0" w:color="auto"/>
            <w:right w:val="none" w:sz="0" w:space="0" w:color="auto"/>
          </w:divBdr>
          <w:divsChild>
            <w:div w:id="1490830136">
              <w:marLeft w:val="0"/>
              <w:marRight w:val="0"/>
              <w:marTop w:val="0"/>
              <w:marBottom w:val="0"/>
              <w:divBdr>
                <w:top w:val="none" w:sz="0" w:space="0" w:color="auto"/>
                <w:left w:val="none" w:sz="0" w:space="0" w:color="auto"/>
                <w:bottom w:val="none" w:sz="0" w:space="0" w:color="auto"/>
                <w:right w:val="none" w:sz="0" w:space="0" w:color="auto"/>
              </w:divBdr>
              <w:divsChild>
                <w:div w:id="17700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User</dc:creator>
  <cp:keywords/>
  <dc:description/>
  <cp:lastModifiedBy>Хрулева Дина Анатольевна</cp:lastModifiedBy>
  <cp:revision>4</cp:revision>
  <cp:lastPrinted>2021-10-07T11:37:00Z</cp:lastPrinted>
  <dcterms:created xsi:type="dcterms:W3CDTF">2021-10-07T11:19:00Z</dcterms:created>
  <dcterms:modified xsi:type="dcterms:W3CDTF">2021-10-08T06:56:00Z</dcterms:modified>
</cp:coreProperties>
</file>